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7381" w14:textId="77777777" w:rsidR="005432CC" w:rsidRDefault="005432CC" w:rsidP="00BA507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516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1843"/>
        <w:gridCol w:w="3260"/>
        <w:gridCol w:w="709"/>
        <w:gridCol w:w="1134"/>
        <w:gridCol w:w="1134"/>
        <w:gridCol w:w="659"/>
        <w:gridCol w:w="1184"/>
        <w:gridCol w:w="850"/>
        <w:gridCol w:w="1418"/>
        <w:gridCol w:w="850"/>
      </w:tblGrid>
      <w:tr w:rsidR="004A7E22" w14:paraId="2366E94F" w14:textId="77777777" w:rsidTr="004A7E22">
        <w:trPr>
          <w:trHeight w:val="63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5FEB1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</w:t>
            </w:r>
            <w:proofErr w:type="spellEnd"/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չափաբաժնի</w:t>
            </w:r>
            <w:proofErr w:type="spellEnd"/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8BC8B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5FE15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14072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46EE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7F97F" w14:textId="77777777" w:rsidR="004A7E22" w:rsidRDefault="004A7E2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B393A" w14:textId="77777777" w:rsidR="004A7E22" w:rsidRDefault="004A7E2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6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F59D6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3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3292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4A7E22" w14:paraId="1CCC542C" w14:textId="77777777" w:rsidTr="004A7E22">
        <w:trPr>
          <w:trHeight w:val="630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15098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A957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64B70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909EA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E2428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FDAF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CC75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592F2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4414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77E7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F9B15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57BD3704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6BBF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0BD64952" w14:textId="77777777" w:rsidR="004A7E22" w:rsidRDefault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4A7E22" w14:paraId="57924133" w14:textId="77777777" w:rsidTr="004A7E22">
        <w:trPr>
          <w:trHeight w:val="35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5EC61" w14:textId="77777777" w:rsidR="004A7E22" w:rsidRDefault="004A7E22" w:rsidP="00CD413D">
            <w:pPr>
              <w:pStyle w:val="ListParagraph"/>
              <w:widowControl w:val="0"/>
              <w:numPr>
                <w:ilvl w:val="0"/>
                <w:numId w:val="2"/>
              </w:numPr>
              <w:suppressAutoHyphens w:val="0"/>
              <w:spacing w:after="0" w:line="240" w:lineRule="auto"/>
              <w:ind w:left="297" w:hanging="18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67DE9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DE4B763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ADAA9EA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6404CED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9D58FA6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79FFF38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B7BF936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1E1BC56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AD6A3EE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70D550D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88E3DD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42CDCF1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CA9C8AE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078A89E" w14:textId="77777777" w:rsid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0900D29" w14:textId="77777777" w:rsid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882227B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498185A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6BC706B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906A893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6E660B1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50A419E" w14:textId="5F7DC473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/>
                <w:sz w:val="16"/>
                <w:szCs w:val="16"/>
                <w:lang w:val="hy-AM"/>
              </w:rPr>
              <w:t>35121100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43852" w14:textId="5BC4A2CB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/>
                <w:sz w:val="16"/>
                <w:szCs w:val="16"/>
                <w:lang w:val="hy-AM"/>
              </w:rPr>
              <w:t>Նոր սերնդի միջցանցային էկրան՝ լիցենզիաներով և ծառայություններով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00D03" w14:textId="507D4F7F" w:rsidR="004A7E22" w:rsidRPr="00FD2B51" w:rsidRDefault="004A7E22" w:rsidP="00FD2B51">
            <w:pPr>
              <w:jc w:val="center"/>
              <w:rPr>
                <w:rFonts w:ascii="GHEA Grapalat" w:hAnsi="GHEA Grapalat" w:cstheme="minorHAnsi"/>
                <w:sz w:val="16"/>
                <w:szCs w:val="16"/>
              </w:rPr>
            </w:pPr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  <w:lang w:val="hy-AM"/>
              </w:rPr>
              <w:t>Սարքավորման տեխնիկական պահանջներ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՝ 1 հատ Նոր սերնդի միջցանցային էկրան (Next-Generation Firewall, NGFW) ՝ նախատեսված 19</w:t>
            </w:r>
            <w:r w:rsidRPr="004A7E22">
              <w:rPr>
                <w:rFonts w:ascii="Courier New" w:hAnsi="Courier New" w:cs="Courier New"/>
                <w:sz w:val="16"/>
                <w:szCs w:val="16"/>
                <w:lang w:val="hy-AM"/>
              </w:rPr>
              <w:t>″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4A7E22">
              <w:rPr>
                <w:rFonts w:ascii="GHEA Grapalat" w:hAnsi="GHEA Grapalat" w:cs="GHEA Grapalat"/>
                <w:sz w:val="16"/>
                <w:szCs w:val="16"/>
                <w:lang w:val="hy-AM"/>
              </w:rPr>
              <w:t>ստանդա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րտ սերվերային պահարանում տեղադրման համար, առավելագույնը՝ 1U բարձրությամբ: Ինտերֆեյսներ՝ առնվազն 10 հատ GE RJ45, ներառյալ 1 MGMT, 1 HA և 8 switch պորտ: Առնվազն 8 հատ 5/2.5/1 GE RJ45 բազմագիգաբիթ պորտ: Առնվազն 4 հատ GE SFP սլոտ: Առնվազն 8 հատ 10/1 GE SFP+/SFP սլոտ: </w:t>
            </w:r>
            <w:r w:rsidR="00F04D9C">
              <w:rPr>
                <w:rFonts w:ascii="GHEA Grapalat" w:hAnsi="GHEA Grapalat" w:cstheme="minorHAnsi"/>
                <w:sz w:val="16"/>
                <w:szCs w:val="16"/>
                <w:lang w:val="hy-AM"/>
              </w:rPr>
              <w:t>Ա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ռնվազն 480 GB ներկառուցված SSD կրիչ: Սարքը պետք է ապահովի ցանցային փաթեթների, գաղտնագրված տրաֆիկի և անվտանգության բովանդակության բարձր արտադրողականությամբ մշակում՝ մասնագիտացված ապարատային արագացուցիչների կամ համարժեք տեխնոլոգիական ճարտարապետության կիրառմամբ։ </w:t>
            </w:r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  <w:lang w:val="hy-AM"/>
              </w:rPr>
              <w:t>Արտադրողականության նվազագույն ցուցանիշներ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՝ Firewall Throughput (IPv4)՝ առնվազն 39 Gbps՝ արտադրողի պաշտոնական չափման մեթոդաբանության համաձայն: IPS Throughput՝ առնվազն 9 Gbps՝ Enterprise Traffic Mix և ակտիվացված logging պայմաններում։ NGFW Throughput՝ առնվազն 7 Gbps՝ Firewall, IPS և Application Control գործառույթներով։ </w:t>
            </w:r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Threat Protection՝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6 Gbps՝ Firewall, IPS, Application Control և Malware Protection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գործառույթներով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։ IPsec VPN throughput՝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36 Gbps,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միաժամանակյա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TCP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սեսիաներ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11,000,000,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նոր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TCP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սեսիաներ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400,000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lastRenderedPageBreak/>
              <w:t>վայրկյանում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Firewall policies՝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10,000: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Սարքը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պետք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է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ունենա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երկու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ներկառուցված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փոփոխական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հոսանքի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սնուցման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բլոկ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1+1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ռեզերվավորմամբ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մուտքային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լարումը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100–240 V AC, 50/60 Hz,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պետք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է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աջակցվեն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Active-Active և Active-Passive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բարձր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հասանելիության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ռեժիմները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.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Աշխատանքային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ջերմաստիճանի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միջակայքը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0°C-ից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մինչև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40°C, 19</w:t>
            </w:r>
            <w:r w:rsidRPr="004A7E22">
              <w:rPr>
                <w:rFonts w:ascii="Courier New" w:hAnsi="Courier New" w:cs="Courier New"/>
                <w:sz w:val="16"/>
                <w:szCs w:val="16"/>
              </w:rPr>
              <w:t>″</w:t>
            </w:r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="GHEA Grapalat"/>
                <w:sz w:val="16"/>
                <w:szCs w:val="16"/>
              </w:rPr>
              <w:t>սերվերային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պահարանում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տեղադրման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համար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անհրաժեշտ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ամրակները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պետք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է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ներառված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լինեն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մատակարարման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կազմում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:  </w:t>
            </w:r>
            <w:proofErr w:type="spellStart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Լիցենզիաներ</w:t>
            </w:r>
            <w:proofErr w:type="spellEnd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արտադրողի</w:t>
            </w:r>
            <w:proofErr w:type="spellEnd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աջակցություն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Անվտանգության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ծառայությունների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համալիր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լիցենզիա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3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տարի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ժամկետով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ներառյալ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 Intrusion Prevention System (IPS), Antivirus և Advanced Malware Protection, Cloud Sandbox, Anti-Botnet և C2 Protection, Application Control, URL, DNS և Video Filtering, Inline CASB, Anti-Phishing, Anti-Spam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ծառայություն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: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Արտադրողի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Premium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մակարդակի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տեխնիկական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աջակցություն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3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տարի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ժամկետով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ներառյալ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ծրագրային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ապահովման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անվտանգության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ստորագրությունների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թարմացումները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համապատասխան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ամպային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ծառայությունների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հասանելիությունը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արտադրողի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տեխնիկական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աջակցության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կենտրոն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դիմելու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հնարավորությունը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ինչպես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նաև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ստանդարտ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RMA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սարքավորման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առաջանցիկ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փոխարինման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r w:rsidR="00FD2B51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(Advanced Hardware Replacement)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ծառայությունները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արտադրողի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պաշտոնական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պայմաններին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համապատասխան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: </w:t>
            </w:r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Log Management և Endpoint VPN/ZTNA</w:t>
            </w:r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: </w:t>
            </w:r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Log Management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Կենտրոնացված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մատյանների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կառավարման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վերլուծության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հարթակ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վիրտուալ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սարքի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(Virtual Appliance)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ձևաչափ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VMware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ESXi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Linux KVM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վիրտուալացման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հարթակների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lastRenderedPageBreak/>
              <w:t>աջակցություն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լիցենզավորված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ընդունման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ծավալ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6 ԳԲ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մատյանային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տվյալ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օրական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ցանցային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անվտանգության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սարքերից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մատյանների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անվտանգության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իրադարձությունների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կենտրոնացված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հավաքագրում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նորմալացում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ինդեքսավորում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պահպանում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որոնում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հարաբերակցում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վերլուծություն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անվտանգության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իրադարձությունների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հարաբերակցում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միջադեպերի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ձևավորում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ծանուցումներ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հետաքննության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գործիքներ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իրական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ժամանակում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աշխատող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կառավարման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վահանակներ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(Dashboards),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ստանդարտ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ա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նհատականացվող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հաշվետվություններ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հաշվետվությունների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ավտոմատ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ձևավորում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սահմանված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ժամանակացույցով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ուղարկում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դերերի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վրա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հիմնված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հասանելիության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կառավարում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ադմինիստրատորների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գործողությունների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գրանցում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մատյանային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տվյալների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պահուստավորում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արխիվացում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արտահանում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արտադրողի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Premium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մակարդակի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տեխնիկական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աջակցություն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3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տարի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ժամկետով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ներառյալ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ծրագրային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թ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արմացումները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նոր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տարբերակների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հասանելիությունը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արտադրողի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աջակցության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կենտրոն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դիմելու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հնարավորությունը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: </w:t>
            </w:r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VPN / ZTNA</w:t>
            </w:r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Առնվազն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100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վերջնակետի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համար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նախատեսված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VPN/ZTNA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բաժանորդագրային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լիցենզիա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3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տարի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ժամկետով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ներառյալ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SSL VPN, IPsec VPN, Zero Trust Network Access (ZTNA),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վերջնակետերի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անվտանգության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վիճակի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ստուգում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կենտրոնացված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կառավարում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քաղաքականությունների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կիրառում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մատյանների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հավաքագրում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հաշվետվություններ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: EMS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կառավարման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հարթակը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պետք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է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տեղակայվի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Պատվիրատուի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ենթակառուցվածքում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՝ On-Premise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lastRenderedPageBreak/>
              <w:t>եղանակով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։ EMS-ի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լիցենզիան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տեղադրումը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սկզբնական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կարգաբերումը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ծրագրային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թարմացումները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և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արտադրողի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24×7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տեխնիկական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աջակցությունը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պետք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է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ներառված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լինեն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առաջարկի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ընդհանուր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</w:rPr>
              <w:t>արժեքում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</w:rPr>
              <w:t xml:space="preserve">: </w:t>
            </w:r>
            <w:proofErr w:type="spellStart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Մատակարարի</w:t>
            </w:r>
            <w:proofErr w:type="spellEnd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կողմից</w:t>
            </w:r>
            <w:proofErr w:type="spellEnd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ներկայացվող</w:t>
            </w:r>
            <w:proofErr w:type="spellEnd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</w:rPr>
              <w:t>փաստաթղթեր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:</w:t>
            </w:r>
          </w:p>
          <w:p w14:paraId="19CFE929" w14:textId="42732A07" w:rsidR="004A7E22" w:rsidRPr="004A7E22" w:rsidRDefault="004A7E22" w:rsidP="004A7E22">
            <w:pPr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  <w:lang w:val="hy-AM"/>
              </w:rPr>
              <w:t>Առաջարկի հետ ներկայացվող փաստաթղթեր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՝ արտադրողի կամ արտադրողի կողմից լիազորված ներկայացուցչի կողմից տրամադրված լիազորման նամակ՝ Manufacturer Authorization Form (MAF), առաջարկվող սարքավորումների և ծրագրային լուծումների արտադրողի պաշտոնական տեխնիկական նկարագրերը (Datasheets), առաջարկվող բոլոր սարքավորումների, լիցենզիաների, բաժանորդագրությունների և տեխնիկական աջակցության ծառայությունների արտադրողի SKU/Part Number-ների ամբողջական ցանկը, փաստաթուղթ կամ հայտարարություն, որը հաստատում է, որ առաջարկվող սարքավորումը նոր է, նախկինում չի օգտագործվել, վերականգնված կամ վերանորոգված չէ և գտնվում է արտադրողի պաշտոնական երաշխիքային ու տեխնիկական աջակցության ներքո: տեխնիկական պահանջներին համապատասխանության աղյուսակ՝ յուրաքանչյուր պահանջի դիմաց նշելով առաջարկվող լուծման համապատասխանությունը և արտադրողի պաշտոնական փաստաթղթի համապատասխան էջը կամ հղումը, արտադրողի պաշտոնական գործընկեր հանդիսանալու կարգավիճակը հաստատող փաստաթուղթ կամ համապատասխան վկայական, երաշխիքային և տեխնիկական աջակցության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lastRenderedPageBreak/>
              <w:t xml:space="preserve">պայմանների մանրամասն նկարագրություն՝ ներառյալ աջակցության մակարդակը, գործողության ժամկետը, արձագանքման պայմանները և RMA/Advanced Replacement ծառայության առկայությունը, մատակարարի համապատասխան որակավորում ունեցող մասնագետների առկայությունը հաստատող արտադրողի վկայականներ կամ հավաստագրեր, առաջարկվող լուծման համար անհրաժեշտ բոլոր լրացուցիչ բաղադրիչների, մալուխների, մոդուլների, տրանսիվերների, սնուցման պարագաների և ծրագրային բաղադրիչների ամբողջական ցանկը, հայտարարություն, որ առաջարկվող գինը ներառում է տեխնիկական պահանջներով նախատեսված բոլոր սարքավորումները, լիցենզիաները, բաժանորդագրությունները, տեղադրումը, կարգաբերումը, տեխնիկական աջակցությունը և անհրաժեշտ ուղեկցող ծառայությունները:  </w:t>
            </w:r>
            <w:r w:rsidRPr="004A7E22">
              <w:rPr>
                <w:rFonts w:ascii="GHEA Grapalat" w:hAnsi="GHEA Grapalat" w:cstheme="minorHAnsi"/>
                <w:b/>
                <w:bCs/>
                <w:sz w:val="16"/>
                <w:szCs w:val="16"/>
                <w:lang w:val="hy-AM"/>
              </w:rPr>
              <w:t>Մատակարարումից և ակտիվացումից հետո ներկայացվող փաստաթղթեր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՝ լիցենզիաների և բաժանորդագրությունների ակտիվացման հաստատում արտադրողի պաշտոնական պորտալում՝ Պատվիրատուի անունով կամ Պատվիրատուի հաշվին, սարքավորումների սերիական համարների և ակտիվացված լիցենզիաների համապատասխանության վերաբերյալ տեղեկատվություն, արտադրողի երաշխիքի և տեխնիկական աջակցության գործողության ժամկետների հաստատում, անհրաժեշտության դեպքում՝ արտադրողի պորտալում սարքավորումների և ծառայությունների գրանցման հաստատում: Մատակարարված սարքավորումների, լիցենզիաների և կատարված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lastRenderedPageBreak/>
              <w:t xml:space="preserve">աշխատանքների վերջնական հանձնման-ընդունման ակտ: Բոլոր բաղադրիչները պետք է լինեն մեկ արտադրողի լուծումներ և կառավարվեն միասնական անվտանգության էկոհամակարգի շրջանակում: Սարքը պետք է համատեղելի լինի Ընկերությունում առկա </w:t>
            </w:r>
            <w:proofErr w:type="spellStart"/>
            <w:r w:rsidR="000C2E92">
              <w:rPr>
                <w:rFonts w:ascii="GHEA Grapalat" w:hAnsi="GHEA Grapalat" w:cstheme="minorHAnsi"/>
                <w:sz w:val="16"/>
                <w:szCs w:val="16"/>
                <w:lang w:val="hy-AM"/>
              </w:rPr>
              <w:t>F</w:t>
            </w:r>
            <w:r w:rsidR="000C2E92" w:rsidRPr="000C2E92">
              <w:rPr>
                <w:rFonts w:ascii="GHEA Grapalat" w:hAnsi="GHEA Grapalat" w:cstheme="minorHAnsi"/>
                <w:sz w:val="16"/>
                <w:szCs w:val="16"/>
                <w:lang w:val="hy-AM"/>
              </w:rPr>
              <w:t>ortiClient</w:t>
            </w:r>
            <w:proofErr w:type="spellEnd"/>
            <w:r w:rsidR="000C2E92" w:rsidRPr="000C2E9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VPN / ZTNA և FortiAnalayzer լիցենզիաների հետ:</w:t>
            </w:r>
          </w:p>
          <w:p w14:paraId="5C71673F" w14:textId="77777777" w:rsidR="004A7E22" w:rsidRPr="004A7E22" w:rsidRDefault="004A7E22" w:rsidP="00EB633D">
            <w:pPr>
              <w:widowControl w:val="0"/>
              <w:spacing w:after="0" w:line="240" w:lineRule="auto"/>
              <w:contextualSpacing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2C457" w14:textId="671786FF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2F905" w14:textId="153D4000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83698" w14:textId="7113875F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43B4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23117A7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341C31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B7807B3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61D3393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E59D1A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27D3C0E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E314C1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F4E089C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E1DA3C4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F9FBCE0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885A2A3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6E9506C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245B32A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BC6A471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7185BD1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EDFD52A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816B30C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08962CD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7F374B2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13732FC7" w14:textId="71A0268A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E2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C8E81" w14:textId="1AF3F65D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/>
                <w:sz w:val="16"/>
                <w:szCs w:val="16"/>
                <w:lang w:val="hy-AM"/>
              </w:rPr>
              <w:t>ք. Երևան, Գ. Հովսեփյան 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638FC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F158EC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A430716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AE61AF2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BE0F42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0405AD2D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1586501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855CE9B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9A2F99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44D50FE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6E3ADA7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8CCAB57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22E8C57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6F4DF60E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8EB596B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A19EB8C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4B9098F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42F3CBA0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4784504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C98FBDD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27F3C0F5" w14:textId="44FCAD81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A7E22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E82E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66DC70D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6B81504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402B65A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F626183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60B3613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2D4E7A0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3CBEB0A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6521A42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DDFE2C2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CD91BCD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1326CC75" w14:textId="777777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0BA5524" w14:textId="77777777" w:rsid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4976667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2C7CBFF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30BBC731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EB11609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ADD334C" w14:textId="77777777" w:rsidR="009600B8" w:rsidRDefault="009600B8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D3E4587" w14:textId="7AA72FAF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E33AB" w14:textId="6D440477" w:rsidR="004A7E22" w:rsidRPr="004A7E22" w:rsidRDefault="004A7E22" w:rsidP="004A7E22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/>
                <w:sz w:val="16"/>
                <w:szCs w:val="16"/>
                <w:lang w:val="hy-AM"/>
              </w:rPr>
              <w:t>3 տարի</w:t>
            </w:r>
          </w:p>
        </w:tc>
      </w:tr>
    </w:tbl>
    <w:p w14:paraId="4C8B09D2" w14:textId="77777777" w:rsidR="004A7E22" w:rsidRDefault="004A7E22" w:rsidP="004A7E22">
      <w:pPr>
        <w:widowControl w:val="0"/>
        <w:spacing w:line="240" w:lineRule="auto"/>
        <w:rPr>
          <w:rFonts w:ascii="GHEA Grapalat" w:hAnsi="GHEA Grapalat"/>
        </w:rPr>
      </w:pPr>
    </w:p>
    <w:p w14:paraId="3209AF9A" w14:textId="1305EC03" w:rsidR="005432CC" w:rsidRDefault="005432CC">
      <w:pPr>
        <w:widowControl w:val="0"/>
        <w:spacing w:line="240" w:lineRule="auto"/>
        <w:jc w:val="center"/>
        <w:rPr>
          <w:rFonts w:ascii="GHEA Grapalat" w:hAnsi="GHEA Grapalat"/>
        </w:rPr>
      </w:pPr>
    </w:p>
    <w:tbl>
      <w:tblPr>
        <w:tblpPr w:leftFromText="180" w:rightFromText="180" w:vertAnchor="text" w:horzAnchor="margin" w:tblpX="-436" w:tblpY="371"/>
        <w:tblW w:w="15168" w:type="dxa"/>
        <w:tblLayout w:type="fixed"/>
        <w:tblLook w:val="04A0" w:firstRow="1" w:lastRow="0" w:firstColumn="1" w:lastColumn="0" w:noHBand="0" w:noVBand="1"/>
      </w:tblPr>
      <w:tblGrid>
        <w:gridCol w:w="988"/>
        <w:gridCol w:w="1417"/>
        <w:gridCol w:w="1559"/>
        <w:gridCol w:w="3686"/>
        <w:gridCol w:w="709"/>
        <w:gridCol w:w="992"/>
        <w:gridCol w:w="1070"/>
        <w:gridCol w:w="669"/>
        <w:gridCol w:w="673"/>
        <w:gridCol w:w="750"/>
        <w:gridCol w:w="1232"/>
        <w:gridCol w:w="1423"/>
      </w:tblGrid>
      <w:tr w:rsidR="004A7E22" w14:paraId="557BF99B" w14:textId="77777777" w:rsidTr="004A7E22"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789E" w14:textId="77777777" w:rsid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Работа</w:t>
            </w:r>
            <w:proofErr w:type="spellEnd"/>
          </w:p>
        </w:tc>
      </w:tr>
      <w:tr w:rsidR="004A7E22" w14:paraId="6BF24369" w14:textId="77777777" w:rsidTr="004A7E22">
        <w:trPr>
          <w:trHeight w:val="219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A16D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Номер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предусмотренного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приглашением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49E93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4A7E22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CPV</w:t>
            </w:r>
            <w:r w:rsidRPr="004A7E22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44E48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1B09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Техническая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62447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-14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Единица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A82DE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Цена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единицы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драмов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РА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7F00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0" w:firstLine="36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Общая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цена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драмов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РА</w:t>
            </w:r>
          </w:p>
        </w:tc>
        <w:tc>
          <w:tcPr>
            <w:tcW w:w="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4029C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-14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Общее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40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4EBD2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Выполнение</w:t>
            </w:r>
            <w:proofErr w:type="spellEnd"/>
          </w:p>
        </w:tc>
      </w:tr>
      <w:tr w:rsidR="004A7E22" w14:paraId="0A015F63" w14:textId="77777777" w:rsidTr="004A7E22">
        <w:trPr>
          <w:trHeight w:val="445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102A3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F0BD8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3523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471F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4E12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F243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D991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78BA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445F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9D151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Подлежащее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поставке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количество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00458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Срок</w:t>
            </w:r>
            <w:proofErr w:type="spellEnd"/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35771" w14:textId="77777777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Гарантийный</w:t>
            </w:r>
            <w:proofErr w:type="spellEnd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4A7E22">
              <w:rPr>
                <w:rFonts w:ascii="GHEA Grapalat" w:hAnsi="GHEA Grapalat"/>
                <w:b/>
                <w:bCs/>
                <w:sz w:val="16"/>
                <w:szCs w:val="16"/>
              </w:rPr>
              <w:t>срок</w:t>
            </w:r>
            <w:proofErr w:type="spellEnd"/>
          </w:p>
        </w:tc>
      </w:tr>
      <w:tr w:rsidR="004A7E22" w14:paraId="76152C5C" w14:textId="77777777" w:rsidTr="004A7E22">
        <w:trPr>
          <w:trHeight w:val="24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500D3" w14:textId="77777777" w:rsidR="004A7E22" w:rsidRDefault="004A7E22" w:rsidP="004A7E2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90C5" w14:textId="029EE26C" w:rsidR="004A7E22" w:rsidRPr="004A7E22" w:rsidRDefault="004A7E22" w:rsidP="004A7E22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35121100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7A19D" w14:textId="2698E6E1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0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Межсетевой экран нового поколения с лицензиями и сервисами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E0C3" w14:textId="5A413DE0" w:rsidR="004A7E22" w:rsidRPr="004A7E22" w:rsidRDefault="004A7E22" w:rsidP="00FD64AD">
            <w:pPr>
              <w:spacing w:after="140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Технические требования к оборудованию՝ 1 шт. Межсетевой экран нового поколения (Next-Generation Firewall, NGFW), предназначенный для установки в стандартный 19</w:t>
            </w:r>
            <w:r w:rsidRPr="004A7E22">
              <w:rPr>
                <w:rFonts w:ascii="Courier New" w:hAnsi="Courier New" w:cs="Courier New"/>
                <w:sz w:val="16"/>
                <w:szCs w:val="16"/>
                <w:lang w:val="hy-AM"/>
              </w:rPr>
              <w:t>″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серверный шкаф, высотой не более 1U. Интерфейсы: не менее 10 шт. GE RJ45, включая 1 MGMT, 1 HA и 8 switch-портов. Не менее 8 шт. мультигигабитных портов 5/2.5/1 GE RJ45. Не менее 4 шт. слотов GE SFP. Не менее 8 шт. слотов 10/1 GE SFP+/SFP. Не менее 480 ГБ встроенного SSD-накопителя. Устройство должно обеспечивать высокопроизводительную обработку сетевых пакетов, зашифрованного трафика и содержимого безопасности с применением специализированных аппаратных ускорителей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lastRenderedPageBreak/>
              <w:t>или эквивалентной технологической архитектуры. Минимальные показатели производительности՝ Firewall Throughput (IPv4) — не менее 39 Gbps согласно официальной методике измерения производителя. IPS Throughput — не менее 9 Gbps в условиях Enterprise Traffic Mix и с активированным логированием. NGFW Throughput — не менее 7 Gbps с функциями Firewall, IPS и Application Control. Threat Protection — не менее 6 Gbps с функциями Firewall, IPS, Application Control и Malware Protection. IPsec VPN throughput — не менее 36 Gbps, одновременные TCP-сессии — не менее 11 000 000, новые TCP-сессии — не менее 400 000 в секунду, Firewall policies — не менее 10 000. Устройство должно иметь два встроенных блока питания переменного тока с резервированием 1+1, входное напряжение 100–240 В AC, 50/60 Гц; должны поддерживаться режимы высокой доступности Active-Active и Active-Passive. Диапазон рабочих температур — не менее чем от 0 °C до 40 °C. Крепления, необходимые для установки в 19</w:t>
            </w:r>
            <w:r w:rsidRPr="004A7E22">
              <w:rPr>
                <w:rFonts w:ascii="Courier New" w:hAnsi="Courier New" w:cs="Courier New"/>
                <w:sz w:val="16"/>
                <w:szCs w:val="16"/>
                <w:lang w:val="hy-AM"/>
              </w:rPr>
              <w:t>″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серверный шкаф, должны быть включены в состав поставки. Лицензии и поддержка производителя՝ Комплексная лицензия сервисов безопасности сроком на 3 года, включая: Intrusion Prevention System (IPS), Antivirus и Advanced Malware Protection, Cloud Sandbox, Anti-Botnet и C2 Protection, Application Control, URL, DNS и Video Filtering, Inline CASB, Anti-Phishing, Anti-Spam. Техническая поддержка производителя уровня Premium сроком на 3 года, включая: обновления программного обеспечения и сигнатур безопасности, доступ к соответствующим облачным сервисам, возможность обращения в центр технической поддержки производителя, а также услуги стандартного RMA и предварительной замены оборудования (Advanced Hardware Replacement) в соответствии с официальными условиями производителя. Log Management и Endpoint VPN/ZTNA: Log Management՝ Централизованная платформа управления и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lastRenderedPageBreak/>
              <w:t xml:space="preserve">анализа журналов в форм-факторе виртуального устройства (Virtual Appliance), с поддержкой платформ виртуализации VMware ESXi и Linux KVM; лицензированный объём приёма — не менее 6 ГБ журнальных данных в сутки; централизованный сбор, нормализация, индексация, хранение, поиск, корреляция и анализ журналов и событий безопасности с устройств сетевой безопасности; корреляция событий безопасности, формирование инцидентов, уведомления и инструменты расследования; работающие в реальном времени панели управления (Dashboards), стандартные и настраиваемые отчёты, автоматическое формирование отчётов и их отправка по заданному расписанию; управление доступом на основе ролей и журналирование действий администраторов; резервное копирование, архивация и экспорт журнальных данных; техническая поддержка производителя уровня Premium сроком на 3 года, включая обновления ПО, доступ к новым версиям и возможность обращения в центр поддержки производителя. VPN / ZTNA՝ Подписочная лицензия VPN/ZTNA не менее чем на 100 конечных точек сроком на 3 года, включая: SSL VPN, IPsec VPN, Zero Trust Network Access (ZTNA), проверку состояния безопасности </w:t>
            </w:r>
            <w:r w:rsidRPr="00EB633D">
              <w:rPr>
                <w:rFonts w:ascii="GHEA Grapalat" w:hAnsi="GHEA Grapalat" w:cstheme="minorHAnsi"/>
                <w:sz w:val="16"/>
                <w:szCs w:val="16"/>
                <w:lang w:val="hy-AM"/>
              </w:rPr>
              <w:t>конечных точек, централизованное управление, применение политик, сбор журналов и отчётность.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Платформа управления EMS должна быть развёрнута в инфраструктуре Заказчика по схеме On-Premise. Лицензия EMS, установка, первичная настройка, обновления ПО и техническая поддержка производителя 24×7 должны быть включены в общую стоимость предложения. Документы, представляемые поставщиком. Документы, представляемые вместе с предложением՝ письмо авторизации, выданное производителем или авторизованным представителем производителя — Manufacturer Authorization Form (MAF); официальные технические описания (Datasheets) производителя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lastRenderedPageBreak/>
              <w:t xml:space="preserve">предлагаемого оборудования и программных решений; полный перечень SKU/Part Number производителя по всем предлагаемым единицам оборудования, лицензиям, подпискам и услугам технической поддержки; документ или заявление, подтверждающее, что предлагаемое оборудование является новым, ранее не использовалось, не является восстановленным или отремонтированным и находится под официальной гарантией и технической поддержкой производителя; таблица соответствия техническим требованиям — с указанием напротив каждого требования соответствия предлагаемого решения и соответствующей страницы или ссылки на официальный документ производителя; документ или соответствующий сертификат, подтверждающий статус официального партнёра производителя; подробное описание условий гарантии и технической поддержки — включая уровень поддержки, срок действия, условия реагирования и наличие услуги RMA/Advanced Replacement; сертификаты или свидетельства производителя, подтверждающие наличие у поставщика специалистов соответствующей квалификации; полный перечень всех дополнительных компонентов, кабелей, модулей, трансиверов, аксессуаров питания и программных компонентов, необходимых для предлагаемого решения; заявление о том, что предлагаемая цена включает всё оборудование, лицензии, подписки, установку, настройку, техническую поддержку и необходимые сопутствующие услуги, предусмотренные техническими требованиями. Документы, представляемые после поставки и активации՝ подтверждение активации лицензий и подписок на официальном портале производителя — на имя Заказчика или на счёт Заказчика; информация о соответствии серийных номеров оборудования и активированных лицензий; подтверждение сроков действия гарантии и технической поддержки производителя; при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lastRenderedPageBreak/>
              <w:t xml:space="preserve">необходимости — подтверждение регистрации оборудования и услуг на портале производителя; итоговый акт приёма-передачи поставленного оборудования, лицензий и выполненных работ. Все компоненты должны являться решениями одного производителя и управляться в рамках единой экосистемы безопасности.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Устройство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должно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быть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совместимо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с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лицензиями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="000C2E9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proofErr w:type="spellStart"/>
            <w:r w:rsidR="000C2E92">
              <w:rPr>
                <w:rFonts w:ascii="GHEA Grapalat" w:hAnsi="GHEA Grapalat" w:cstheme="minorHAnsi"/>
                <w:sz w:val="16"/>
                <w:szCs w:val="16"/>
                <w:lang w:val="hy-AM"/>
              </w:rPr>
              <w:t>F</w:t>
            </w:r>
            <w:r w:rsidR="000C2E92" w:rsidRPr="000C2E92">
              <w:rPr>
                <w:rFonts w:ascii="GHEA Grapalat" w:hAnsi="GHEA Grapalat" w:cstheme="minorHAnsi"/>
                <w:sz w:val="16"/>
                <w:szCs w:val="16"/>
                <w:lang w:val="hy-AM"/>
              </w:rPr>
              <w:t>ortiClient</w:t>
            </w:r>
            <w:proofErr w:type="spellEnd"/>
            <w:r w:rsidR="000C2E9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VPN / ZTNA и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FortiAnalyzer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доступными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в </w:t>
            </w:r>
            <w:proofErr w:type="spellStart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компании</w:t>
            </w:r>
            <w:proofErr w:type="spellEnd"/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.</w:t>
            </w:r>
          </w:p>
          <w:p w14:paraId="0E601241" w14:textId="77777777" w:rsidR="004A7E22" w:rsidRPr="004A7E22" w:rsidRDefault="004A7E22" w:rsidP="00FD64AD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F1CD" w14:textId="656665A4" w:rsidR="004A7E22" w:rsidRPr="004A7E22" w:rsidRDefault="004A7E22" w:rsidP="00FD64AD">
            <w:pPr>
              <w:pStyle w:val="BodyTextIndent2"/>
              <w:widowControl w:val="0"/>
              <w:spacing w:line="240" w:lineRule="auto"/>
              <w:ind w:left="-104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10310" w14:textId="4138BECC" w:rsidR="004A7E22" w:rsidRPr="004A7E22" w:rsidRDefault="004A7E22" w:rsidP="00FD64AD">
            <w:pPr>
              <w:pStyle w:val="BodyTextIndent2"/>
              <w:widowControl w:val="0"/>
              <w:spacing w:line="240" w:lineRule="auto"/>
              <w:ind w:left="-104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627E" w14:textId="496EF84F" w:rsidR="004A7E22" w:rsidRPr="004A7E22" w:rsidRDefault="004A7E22" w:rsidP="00FD64AD">
            <w:pPr>
              <w:pStyle w:val="BodyTextIndent2"/>
              <w:widowControl w:val="0"/>
              <w:spacing w:line="240" w:lineRule="auto"/>
              <w:ind w:left="-14" w:right="-105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241E8" w14:textId="38FC789E" w:rsidR="004A7E22" w:rsidRPr="004A7E22" w:rsidRDefault="009600B8" w:rsidP="00FD64AD">
            <w:pPr>
              <w:pStyle w:val="BodyTextIndent2"/>
              <w:widowControl w:val="0"/>
              <w:spacing w:line="240" w:lineRule="auto"/>
              <w:ind w:left="0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>
              <w:rPr>
                <w:rFonts w:ascii="GHEA Grapalat" w:hAnsi="GHEA Grapalat" w:cstheme="minorHAnsi"/>
                <w:sz w:val="16"/>
                <w:szCs w:val="16"/>
                <w:lang w:val="hy-AM"/>
              </w:rPr>
              <w:t>1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73BB7" w14:textId="389BF8CF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0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г.</w:t>
            </w:r>
            <w:r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Ереван, ул.Овсепяна 26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AE4E6" w14:textId="77626BEA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0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   </w:t>
            </w: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2A7D" w14:textId="405E736F" w:rsidR="004A7E22" w:rsidRPr="004A7E22" w:rsidRDefault="004A7E22" w:rsidP="004A7E22">
            <w:pPr>
              <w:pStyle w:val="BodyTextIndent2"/>
              <w:widowControl w:val="0"/>
              <w:spacing w:line="240" w:lineRule="auto"/>
              <w:ind w:left="0"/>
              <w:jc w:val="center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В течение 60 дней после подписания договора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DC92" w14:textId="22FFA668" w:rsidR="004A7E22" w:rsidRPr="004A7E22" w:rsidRDefault="004A7E22" w:rsidP="004A7E22">
            <w:pPr>
              <w:pStyle w:val="BodyTextIndent2"/>
              <w:widowControl w:val="0"/>
              <w:spacing w:line="240" w:lineRule="auto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4A7E22">
              <w:rPr>
                <w:rFonts w:ascii="GHEA Grapalat" w:hAnsi="GHEA Grapalat" w:cstheme="minorHAnsi"/>
                <w:sz w:val="16"/>
                <w:szCs w:val="16"/>
                <w:lang w:val="hy-AM"/>
              </w:rPr>
              <w:t>3  года</w:t>
            </w:r>
          </w:p>
        </w:tc>
      </w:tr>
    </w:tbl>
    <w:p w14:paraId="68415EE9" w14:textId="77777777" w:rsidR="005432CC" w:rsidRDefault="005432CC">
      <w:pPr>
        <w:spacing w:after="0" w:line="480" w:lineRule="auto"/>
        <w:contextualSpacing/>
        <w:jc w:val="center"/>
        <w:rPr>
          <w:rFonts w:ascii="GHEA Grapalat" w:hAnsi="GHEA Grapalat"/>
          <w:b/>
          <w:szCs w:val="18"/>
          <w:lang w:val="hy-AM"/>
        </w:rPr>
      </w:pPr>
    </w:p>
    <w:sectPr w:rsidR="005432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8BA4C" w14:textId="77777777" w:rsidR="007E770D" w:rsidRDefault="007E770D">
      <w:pPr>
        <w:spacing w:after="0" w:line="240" w:lineRule="auto"/>
      </w:pPr>
      <w:r>
        <w:separator/>
      </w:r>
    </w:p>
  </w:endnote>
  <w:endnote w:type="continuationSeparator" w:id="0">
    <w:p w14:paraId="4DB5418A" w14:textId="77777777" w:rsidR="007E770D" w:rsidRDefault="007E7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31F76" w14:textId="77777777" w:rsidR="001F55C9" w:rsidRDefault="001F5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AAD52" w14:textId="77777777" w:rsidR="001F55C9" w:rsidRDefault="001F55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FBD53" w14:textId="77777777" w:rsidR="001F55C9" w:rsidRDefault="001F5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BCF96" w14:textId="77777777" w:rsidR="007E770D" w:rsidRDefault="007E770D">
      <w:pPr>
        <w:spacing w:after="0" w:line="240" w:lineRule="auto"/>
      </w:pPr>
      <w:r>
        <w:separator/>
      </w:r>
    </w:p>
  </w:footnote>
  <w:footnote w:type="continuationSeparator" w:id="0">
    <w:p w14:paraId="3198C005" w14:textId="77777777" w:rsidR="007E770D" w:rsidRDefault="007E77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6014F" w14:textId="77777777" w:rsidR="001F55C9" w:rsidRDefault="001F5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ED1B" w14:textId="77777777" w:rsidR="001F55C9" w:rsidRDefault="001F55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F2301" w14:textId="77777777" w:rsidR="001F55C9" w:rsidRDefault="001F5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4A75F9"/>
    <w:multiLevelType w:val="multilevel"/>
    <w:tmpl w:val="485A10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E521D3"/>
    <w:multiLevelType w:val="multilevel"/>
    <w:tmpl w:val="A8BE32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92258FF"/>
    <w:multiLevelType w:val="multilevel"/>
    <w:tmpl w:val="E7D67C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77787982">
    <w:abstractNumId w:val="2"/>
  </w:num>
  <w:num w:numId="2" w16cid:durableId="313340093">
    <w:abstractNumId w:val="1"/>
  </w:num>
  <w:num w:numId="3" w16cid:durableId="124984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2CC"/>
    <w:rsid w:val="000C2E92"/>
    <w:rsid w:val="000E0324"/>
    <w:rsid w:val="001B5893"/>
    <w:rsid w:val="001F55C9"/>
    <w:rsid w:val="002F5692"/>
    <w:rsid w:val="0030165E"/>
    <w:rsid w:val="00332848"/>
    <w:rsid w:val="004A7E22"/>
    <w:rsid w:val="004D3EDD"/>
    <w:rsid w:val="005432CC"/>
    <w:rsid w:val="0067572D"/>
    <w:rsid w:val="006C0C71"/>
    <w:rsid w:val="007E770D"/>
    <w:rsid w:val="008715A2"/>
    <w:rsid w:val="008B0817"/>
    <w:rsid w:val="008F7BB7"/>
    <w:rsid w:val="009600B8"/>
    <w:rsid w:val="00AB577A"/>
    <w:rsid w:val="00BA5071"/>
    <w:rsid w:val="00C91776"/>
    <w:rsid w:val="00CD413D"/>
    <w:rsid w:val="00E34BBA"/>
    <w:rsid w:val="00E75435"/>
    <w:rsid w:val="00E870A0"/>
    <w:rsid w:val="00EA6063"/>
    <w:rsid w:val="00EB633D"/>
    <w:rsid w:val="00F04D9C"/>
    <w:rsid w:val="00FB67BC"/>
    <w:rsid w:val="00FD2B51"/>
    <w:rsid w:val="00FD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96F77"/>
  <w15:docId w15:val="{1B7BA9EF-9918-49F5-B928-B8793B93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2089</Words>
  <Characters>11910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https:/mul2.1tv.am/tasks/50247/oneclick?token=162a8221fb699c166e19dfb2c147b2d6</cp:keywords>
  <dc:description/>
  <cp:lastModifiedBy>Sona Mkrtchyan</cp:lastModifiedBy>
  <cp:revision>4</cp:revision>
  <cp:lastPrinted>2014-07-01T09:55:00Z</cp:lastPrinted>
  <dcterms:created xsi:type="dcterms:W3CDTF">2026-08-24T13:13:00Z</dcterms:created>
  <dcterms:modified xsi:type="dcterms:W3CDTF">2026-08-25T07:13:00Z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